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735"/>
        <w:gridCol w:w="3075"/>
        <w:gridCol w:w="1080"/>
        <w:gridCol w:w="2100"/>
        <w:gridCol w:w="945"/>
        <w:gridCol w:w="1125"/>
        <w:gridCol w:w="810"/>
      </w:tblGrid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ДОГОВОР ПОСТАВКИ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Pr="008822FE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Регистрационный номер № ДП-04016</w:t>
            </w:r>
            <w:r w:rsidR="008822FE">
              <w:rPr>
                <w:rFonts w:ascii="Times New Roman" w:hAnsi="Times New Roman"/>
                <w:lang w:val="en-US"/>
              </w:rPr>
              <w:t xml:space="preserve">/ </w:t>
            </w:r>
            <w:r w:rsidR="008822FE">
              <w:rPr>
                <w:rFonts w:ascii="Times New Roman" w:hAnsi="Times New Roman"/>
              </w:rPr>
              <w:t>126-24-ЕП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810" w:type="dxa"/>
            <w:gridSpan w:val="2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Санкт-Петербург г</w:t>
            </w:r>
            <w:r w:rsidR="008822FE">
              <w:rPr>
                <w:rFonts w:ascii="Times New Roman" w:hAnsi="Times New Roman"/>
              </w:rPr>
              <w:t>.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35" w:type="dxa"/>
            <w:gridSpan w:val="2"/>
            <w:shd w:val="clear" w:color="auto" w:fill="auto"/>
            <w:vAlign w:val="bottom"/>
          </w:tcPr>
          <w:p w:rsidR="00117827" w:rsidRDefault="0090482A" w:rsidP="008822FE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0</w:t>
            </w:r>
            <w:r w:rsidR="008822F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.11.2024 г.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ООО "Сервер </w:t>
            </w:r>
            <w:proofErr w:type="spellStart"/>
            <w:r>
              <w:rPr>
                <w:rFonts w:ascii="Times New Roman" w:hAnsi="Times New Roman"/>
              </w:rPr>
              <w:t>Молл</w:t>
            </w:r>
            <w:proofErr w:type="spellEnd"/>
            <w:r>
              <w:rPr>
                <w:rFonts w:ascii="Times New Roman" w:hAnsi="Times New Roman"/>
              </w:rPr>
              <w:t>", именуемое в дальнейшем «Поставщик», в лице Генерального директора Фролова Романа Александровича, действующего на основании Устава, с одной стороны, и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 w:rsidP="008822FE">
            <w:pPr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АО "ВЫБОРГТЕПЛОЭНЕРГО", в лице Генерального Директора </w:t>
            </w:r>
            <w:r w:rsidR="008822FE">
              <w:rPr>
                <w:rFonts w:ascii="Times New Roman" w:hAnsi="Times New Roman"/>
              </w:rPr>
              <w:t>Кривоноса Александра Васильевича</w:t>
            </w:r>
            <w:r>
              <w:rPr>
                <w:rFonts w:ascii="Times New Roman" w:hAnsi="Times New Roman"/>
              </w:rPr>
              <w:t>, действующего на основании Устава, именуемое в дальнейшем «Покупатель», с другой стороны, именуемые в дальнейшем Стороны, заключили настоящий договор о нижеследующем: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1. Предмет договора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1.1.    В соответствии с настоящим договором, Поставщик обязуется поставить, а Покупатель обязуется принять и оплатить товар (далее – Товар), на условиях, в объёмах и в количествах, указанных в разделе 8 настоящего договора.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1.2.    Поставка Товара осуществляется Поставщиком путем его отгрузки и доставки по месту нахождения Покупателя: 188810, Ленинградская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р-н Выборгский, г Выборг,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 xml:space="preserve"> Сухова, д. 2, при этом доставка входит в стоимость Товара.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1.3.    Поставщик гарантирует, что поставляемый Товар на момент его передачи Покупателю не будет находиться в залоге, под арестом или обременен каким – либо иным образом правами третьих лиц.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1.4.    В рамках настоящего Договора на переданный Покупателю Товар по ТОРГ -12 либо УПД  Поставщик  устанавливает гарантийный срок, указанный в Приложении № 1 к настоящему Договору.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2. Приемка – передача товара. Переход права собственности на товар. Сроки поставки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2.1. Приемка – передача Товара производится в месте его поставки. Факт приемки/передачи Товара удостоверяется подписанием Сторонами (представителями Сторон) товаросопроводительных документов.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2.2. Одновременно с передачей Товара Поставщик обязан передать Покупателю соответствующую документацию на Товар от изготовителя, в том числе, УПД, гарантийный талон и т.п.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2.3. Покупатель (получатель) обязан совершить все необходимые действия, обеспечивающие принятие Товаров, поставленных в соответствии с договором поставки, в частности, но не </w:t>
            </w:r>
            <w:proofErr w:type="gramStart"/>
            <w:r>
              <w:rPr>
                <w:rFonts w:ascii="Times New Roman" w:hAnsi="Times New Roman"/>
              </w:rPr>
              <w:t>исключая</w:t>
            </w:r>
            <w:proofErr w:type="gramEnd"/>
            <w:r>
              <w:rPr>
                <w:rFonts w:ascii="Times New Roman" w:hAnsi="Times New Roman"/>
              </w:rPr>
              <w:t xml:space="preserve"> нижеуказанных: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•   в случае получения поставленных Товаров от транспортной организации Покупатель (получатель) обязан проверить соответствие Товаров сведениям, указанным в транспортных и сопроводительных документах: по количеству мест, объему (весу), без досмотра и проверки содержимого упаковки, если отсутствуют видимые ее повреждения;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•   при обнаружении повреждения тары (упаковки) товара Покупатель вправе отказаться от приемки товара передаваемого перевозчиком и  потребовать от последнего составления коммерческого акта, а при доставке груза автомобильным транспортом отметки на транспортной накладной (накладной на выдачу) или составления акта об утрате (или: недостаче) груза (или: повреждении (порче) груза) при перевозке автомобильным транспортом по </w:t>
            </w:r>
            <w:proofErr w:type="gramStart"/>
            <w:r>
              <w:rPr>
                <w:rFonts w:ascii="Times New Roman" w:hAnsi="Times New Roman"/>
              </w:rPr>
              <w:t>форме</w:t>
            </w:r>
            <w:proofErr w:type="gramEnd"/>
            <w:r>
              <w:rPr>
                <w:rFonts w:ascii="Times New Roman" w:hAnsi="Times New Roman"/>
              </w:rPr>
              <w:t xml:space="preserve"> прилагаемой к настоящему Договору, направив его по электронной почте Поставщику не позднее следующего рабочего дня после доставки.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proofErr w:type="gramStart"/>
            <w:r>
              <w:rPr>
                <w:rFonts w:ascii="Times New Roman" w:hAnsi="Times New Roman"/>
              </w:rPr>
              <w:t>•   если Покупатель не отказался от получения Товара при видимых повреждениях упаковки, последний обязан в момент передачи ему Товара (груза) Перевозчиком проверить его качество по внешним признакам и при отсутствии замечаний (недостатков) к качеству не позднее  5 (пяти) рабочих дней с даты доставки (получения Товара от перевозчика) подписать со своей Стороны УПД, направив его Поставщику не позднее следующего рабочего дня по</w:t>
            </w:r>
            <w:proofErr w:type="gramEnd"/>
            <w:r>
              <w:rPr>
                <w:rFonts w:ascii="Times New Roman" w:hAnsi="Times New Roman"/>
              </w:rPr>
              <w:t xml:space="preserve"> истечению срока на подписание либо направить по  электронной почте на адрес Поставщика мотивированный отказ, вместе с </w:t>
            </w:r>
            <w:proofErr w:type="spellStart"/>
            <w:r>
              <w:rPr>
                <w:rFonts w:ascii="Times New Roman" w:hAnsi="Times New Roman"/>
              </w:rPr>
              <w:t>фотофиксацией</w:t>
            </w:r>
            <w:proofErr w:type="spellEnd"/>
            <w:r>
              <w:rPr>
                <w:rFonts w:ascii="Times New Roman" w:hAnsi="Times New Roman"/>
              </w:rPr>
              <w:t xml:space="preserve"> (при наличии механических повреждений).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При обнаружении при приемке Товара его несоответствия согласованным условиям, Стороны составляют рекламационный акт о выявленных недостатках и сроках их устранения. Покупатель вправе отказаться от приемки Товара, не соответствующего условиям Договора, если в согласованный срок на устранение (доукомплектование) Поставщик не выполнит требование Покупателя. Товар, от приемки которого Покупатель отказался, считается не поставленным Поставщиком.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В случае отказа Покупателя  от принятия Груза, Поставщик обязан оплатить расходы по доставке Груза в пункт назначения, по возврату Груза в пункт отправления, а также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 случае необходимости расходы по хранению Груза.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2.4. Право собственности на Товар переходит от Поставщика к Покупателю, с момента передачи товара Покупателю и подписания товаросопроводительных документов.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2.5. В случае</w:t>
            </w:r>
            <w:proofErr w:type="gramStart"/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если экземпляр товарной накладной, переданный Покупателю, не будет возвращен Поставщику, Покупатель считается получившим товары на условиях, содержащихся в экземпляре товарной накладной.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2.6. Срок комплектации Товара в течение 18(восемнадцати) рабочих дней с момента оплаты.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3. Стоимость договора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3.1. Стоимость договора составляет 2 956 970 RUB (Два миллиона девятьсот пятьдесят шесть тысяч девятьсот семьдесят рублей 00 копеек), в том числе НДС 20% – 492 828,33 RUB (Четыреста девяносто две тысячи восемьсот двадцать восемь рублей 33 копейки).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3.2. Оплата производится Покупателем авансовым платежом, в размере 50 % от стоимости договора. Остальные 50 % от стоимости договора, путём перечисления денежных средств на расчётный счёт Поставщика в течение 5 (пяти) рабочих дней </w:t>
            </w:r>
            <w:proofErr w:type="gramStart"/>
            <w:r>
              <w:rPr>
                <w:rFonts w:ascii="Times New Roman" w:hAnsi="Times New Roman"/>
              </w:rPr>
              <w:t>с даты получения</w:t>
            </w:r>
            <w:proofErr w:type="gramEnd"/>
            <w:r>
              <w:rPr>
                <w:rFonts w:ascii="Times New Roman" w:hAnsi="Times New Roman"/>
              </w:rPr>
              <w:t xml:space="preserve"> Товара.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3.3. Датой оплаты считается дата поступления денежных средств на расчетный счет банка Поставщика.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4. Ответственность сторон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4.1. За неисполнение либо ненадлежащее исполнение договорных обязательств, Стороны несут имущественную ответственность в порядке и на условиях, предусмотренных действующим законодательством РФ.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4.2 Поставщик имеет право в одностороннем порядке расторгнуть договор поставки и вернуть денежные средства Покупателю при наличии следующих обстоятельств: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135" w:type="dxa"/>
            <w:gridSpan w:val="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proofErr w:type="gramStart"/>
            <w:r>
              <w:rPr>
                <w:rFonts w:ascii="Times New Roman" w:hAnsi="Times New Roman"/>
              </w:rPr>
              <w:t>•   повышение курса иностранной валюты (USD-</w:t>
            </w:r>
            <w:proofErr w:type="spellStart"/>
            <w:r>
              <w:rPr>
                <w:rFonts w:ascii="Times New Roman" w:hAnsi="Times New Roman"/>
              </w:rPr>
              <w:t>Alfa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forex</w:t>
            </w:r>
            <w:proofErr w:type="spellEnd"/>
            <w:r>
              <w:rPr>
                <w:rFonts w:ascii="Times New Roman" w:hAnsi="Times New Roman"/>
              </w:rPr>
              <w:t>) больше либо равное 15 % с момента заключения договора и до момента поступления денежных средств на счет Поставщика от Покупателя</w:t>
            </w:r>
            <w:r>
              <w:rPr>
                <w:rFonts w:ascii="Times New Roman" w:hAnsi="Times New Roman"/>
              </w:rPr>
              <w:br/>
              <w:t>•   отсутствие на рынке нужных для исполнения обязательств товаров на момент поступления денежных средств от Покупателя</w:t>
            </w:r>
            <w:r>
              <w:rPr>
                <w:rFonts w:ascii="Times New Roman" w:hAnsi="Times New Roman"/>
              </w:rPr>
              <w:br/>
              <w:t>•   повышение закупочной цены товара больше либо равное 15% на момент поступления денежных средств от Покупателя</w:t>
            </w:r>
            <w:r>
              <w:rPr>
                <w:rFonts w:ascii="Times New Roman" w:hAnsi="Times New Roman"/>
              </w:rPr>
              <w:br/>
              <w:t>•   невозможности осуществить поставку/замену по</w:t>
            </w:r>
            <w:proofErr w:type="gramEnd"/>
            <w:r>
              <w:rPr>
                <w:rFonts w:ascii="Times New Roman" w:hAnsi="Times New Roman"/>
              </w:rPr>
              <w:t xml:space="preserve"> независящим от поставщика причинам, таким как </w:t>
            </w:r>
            <w:proofErr w:type="gramStart"/>
            <w:r>
              <w:rPr>
                <w:rFonts w:ascii="Times New Roman" w:hAnsi="Times New Roman"/>
              </w:rPr>
              <w:t>отказ</w:t>
            </w:r>
            <w:proofErr w:type="gramEnd"/>
            <w:r>
              <w:rPr>
                <w:rFonts w:ascii="Times New Roman" w:hAnsi="Times New Roman"/>
              </w:rPr>
              <w:t xml:space="preserve"> от поставки производителя товара</w:t>
            </w:r>
            <w:r>
              <w:rPr>
                <w:rFonts w:ascii="Times New Roman" w:hAnsi="Times New Roman"/>
              </w:rPr>
              <w:br/>
              <w:t>•   Проценты по ст.395 ГК РФ в этом случае не подлежат начислению.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4.3. Все изменения и дополнения к настоящему договору оформляются протоколом разногласий или дополнительными соглашениями между договорившимися Сторонами, которые после подписания их становятся неотъемлемой частью договора.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4.4. Стороны освобождаются от исполнения обязательств по договору, если исполнение оказалось невозможным из-за обстоятельств непреодолимой силы: стихийные бедствия, военные действия, эпидемии, национальные и отраслевые забастовки, законодательные и подзаконные акты государственных органов, запрещающие виды деятельности, указанные в настоящем договоре.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4.5. Сторона, которая не в состоянии выполнить обязательства по договору в силу указанных причин, обязана уведомить другую сторону в течение 10 (десяти) дней со дня наступления обстоятельств непреодолимой силы. Сторона, не выполнившая это условие, не вправе ссылаться на обстоятельства непреодолимой силы.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4.6 Стороны признают надлежащим подписание договора, отчетов, актов, дополнительных соглашений путем обмена отсканированными копиями по электронной почте. Такие документы считаются подписанными простой электронной подписью и приравниваются к документам на бумажном носителе. Для обмена документами и сообщениями по электронной почте должны использоваться следующие адреса:</w:t>
            </w:r>
            <w:r>
              <w:rPr>
                <w:rFonts w:ascii="Times New Roman" w:hAnsi="Times New Roman"/>
              </w:rPr>
              <w:br/>
              <w:t>Поставщик: info@servermall.ru</w:t>
            </w:r>
            <w:r>
              <w:rPr>
                <w:rFonts w:ascii="Times New Roman" w:hAnsi="Times New Roman"/>
              </w:rPr>
              <w:br/>
              <w:t>Покупатель:</w:t>
            </w:r>
            <w:r w:rsidR="008822FE">
              <w:rPr>
                <w:rFonts w:ascii="Times New Roman" w:hAnsi="Times New Roman"/>
              </w:rPr>
              <w:t xml:space="preserve"> </w:t>
            </w:r>
            <w:proofErr w:type="spellStart"/>
            <w:r w:rsidR="008822FE">
              <w:rPr>
                <w:rFonts w:ascii="Times New Roman" w:hAnsi="Times New Roman"/>
                <w:lang w:val="en-US"/>
              </w:rPr>
              <w:t>dimav</w:t>
            </w:r>
            <w:proofErr w:type="spellEnd"/>
            <w:r w:rsidR="008822FE" w:rsidRPr="008822FE">
              <w:rPr>
                <w:rFonts w:ascii="Times New Roman" w:hAnsi="Times New Roman"/>
              </w:rPr>
              <w:t>47@</w:t>
            </w:r>
            <w:proofErr w:type="spellStart"/>
            <w:r w:rsidR="008822FE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="008822FE" w:rsidRPr="008822FE">
              <w:rPr>
                <w:rFonts w:ascii="Times New Roman" w:hAnsi="Times New Roman"/>
              </w:rPr>
              <w:t>.</w:t>
            </w:r>
            <w:proofErr w:type="spellStart"/>
            <w:r w:rsidR="008822FE">
              <w:rPr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</w:rPr>
              <w:br/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5. Порядок разрешения споров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5.1. 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 Российской Федерации. В случае не урегулирования в процессе переговоров спорных вопросов спор передается на рассмотрение в Арбитражный суд по месту нахождения истца.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6. Прочие условия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7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6.2. Настоящий договор составлен в двух экземплярах, имеющих одинаковую юридическую силу, по одному экземпляру для каждой из Сторон.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6.3. После подписания настоящего договора все предыдущие переговоры и переписка по нему теряют силу.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6.4. Настоящий договор вступает в силу </w:t>
            </w:r>
            <w:proofErr w:type="gramStart"/>
            <w:r>
              <w:rPr>
                <w:rFonts w:ascii="Times New Roman" w:hAnsi="Times New Roman"/>
              </w:rPr>
              <w:t>с даты</w:t>
            </w:r>
            <w:proofErr w:type="gramEnd"/>
            <w:r>
              <w:rPr>
                <w:rFonts w:ascii="Times New Roman" w:hAnsi="Times New Roman"/>
              </w:rPr>
              <w:t xml:space="preserve"> его подписания Сторонам и действует до полного исполнения Сторонами своих обязательств.</w:t>
            </w:r>
          </w:p>
        </w:tc>
      </w:tr>
    </w:tbl>
    <w:p w:rsidR="00117827" w:rsidRDefault="0090482A">
      <w:r>
        <w:br w:type="page"/>
      </w:r>
    </w:p>
    <w:tbl>
      <w:tblPr>
        <w:tblW w:w="10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2070"/>
        <w:gridCol w:w="2625"/>
        <w:gridCol w:w="255"/>
        <w:gridCol w:w="240"/>
        <w:gridCol w:w="2085"/>
        <w:gridCol w:w="2625"/>
      </w:tblGrid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900" w:type="dxa"/>
            <w:gridSpan w:val="6"/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7. Реквизиты и подписи сторон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4695" w:type="dxa"/>
            <w:gridSpan w:val="2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Поставщик: ООО "Сервер </w:t>
            </w:r>
            <w:proofErr w:type="spellStart"/>
            <w:r>
              <w:rPr>
                <w:rFonts w:ascii="Times New Roman" w:hAnsi="Times New Roman"/>
                <w:b/>
              </w:rPr>
              <w:t>Молл</w:t>
            </w:r>
            <w:proofErr w:type="spellEnd"/>
            <w:r>
              <w:rPr>
                <w:rFonts w:ascii="Times New Roman" w:hAnsi="Times New Roman"/>
                <w:b/>
              </w:rPr>
              <w:t>"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4710" w:type="dxa"/>
            <w:gridSpan w:val="2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  <w:b/>
              </w:rPr>
              <w:t>Покупатель: АО "ВЫБОРГТЕПЛОЭНЕРГО"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Юридический адрес: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195027, Санкт-Петербург г, Магнитогорская ул., дом № 51, литера</w:t>
            </w:r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Юридический адрес: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188800, Ленинградская область, г Выборг,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Сухова, дом 2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Фактический адрес: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195027, Санкт-Петербург г, Магнитогорская ул., дом 51, литера</w:t>
            </w:r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  <w:r>
              <w:rPr>
                <w:rFonts w:ascii="Times New Roman" w:hAnsi="Times New Roman"/>
              </w:rPr>
              <w:t>, помещение 10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Фактический адрес: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188800, Ленинградская область, г Выборг,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Сухова, дом 2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ИНН: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7806239326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ИНН: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4704062064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КПП: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780601001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КПП: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470401001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ОКПО: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02742616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ОКПО: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75115131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ОГРН: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1167847239317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ОГРН: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1054700176893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Банк: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ФИЛИАЛ "САНКТ-ПЕТЕРБУРГСКИЙ" АО "АЛЬФА-БАНК"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Банк: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СЕВЕРО-ЗАПАДНЫЙ БАНК ПАО СБЕРБАНК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</w:tcPr>
          <w:p w:rsidR="00117827" w:rsidRDefault="0090482A">
            <w:pPr>
              <w:spacing w:after="0"/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/С: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40702810532200001590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</w:tcPr>
          <w:p w:rsidR="00117827" w:rsidRDefault="0090482A">
            <w:pPr>
              <w:spacing w:after="0"/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/С: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40702810055390000440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К/С: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30101810600000000786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К/С: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30101810500000000653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БИК: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044030786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БИК:</w:t>
            </w:r>
          </w:p>
        </w:tc>
        <w:tc>
          <w:tcPr>
            <w:tcW w:w="2625" w:type="dxa"/>
            <w:shd w:val="clear" w:color="auto" w:fill="auto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044030653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4695" w:type="dxa"/>
            <w:gridSpan w:val="2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________________/Р.А. Фролов/</w:t>
            </w: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4710" w:type="dxa"/>
            <w:gridSpan w:val="2"/>
            <w:shd w:val="clear" w:color="auto" w:fill="auto"/>
            <w:vAlign w:val="bottom"/>
          </w:tcPr>
          <w:p w:rsidR="00117827" w:rsidRDefault="0090482A" w:rsidP="008822FE">
            <w:pPr>
              <w:spacing w:after="0"/>
            </w:pPr>
            <w:r>
              <w:rPr>
                <w:rFonts w:ascii="Times New Roman" w:hAnsi="Times New Roman"/>
              </w:rPr>
              <w:t>________________/</w:t>
            </w:r>
            <w:proofErr w:type="spellStart"/>
            <w:r w:rsidR="008822F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</w:t>
            </w:r>
            <w:r w:rsidR="008822F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</w:t>
            </w:r>
            <w:r w:rsidR="008822FE">
              <w:rPr>
                <w:rFonts w:ascii="Times New Roman" w:hAnsi="Times New Roman"/>
              </w:rPr>
              <w:t>Кривонос</w:t>
            </w:r>
            <w:proofErr w:type="spellEnd"/>
            <w:r>
              <w:rPr>
                <w:rFonts w:ascii="Times New Roman" w:hAnsi="Times New Roman"/>
              </w:rPr>
              <w:t>/</w:t>
            </w: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3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4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</w:tbl>
    <w:p w:rsidR="00117827" w:rsidRDefault="0090482A">
      <w:r>
        <w:br w:type="page"/>
      </w:r>
    </w:p>
    <w:tbl>
      <w:tblPr>
        <w:tblW w:w="10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5"/>
        <w:gridCol w:w="180"/>
        <w:gridCol w:w="180"/>
        <w:gridCol w:w="180"/>
        <w:gridCol w:w="195"/>
        <w:gridCol w:w="180"/>
        <w:gridCol w:w="180"/>
        <w:gridCol w:w="180"/>
        <w:gridCol w:w="195"/>
        <w:gridCol w:w="180"/>
        <w:gridCol w:w="180"/>
        <w:gridCol w:w="180"/>
        <w:gridCol w:w="195"/>
        <w:gridCol w:w="180"/>
        <w:gridCol w:w="180"/>
        <w:gridCol w:w="180"/>
        <w:gridCol w:w="195"/>
        <w:gridCol w:w="180"/>
        <w:gridCol w:w="1530"/>
        <w:gridCol w:w="780"/>
        <w:gridCol w:w="1155"/>
        <w:gridCol w:w="720"/>
        <w:gridCol w:w="1260"/>
        <w:gridCol w:w="1110"/>
        <w:gridCol w:w="195"/>
      </w:tblGrid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24"/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8. Спецификации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870" w:type="dxa"/>
            <w:gridSpan w:val="24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8.1.Ассортимент, количество и стоимость Товара.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555" w:type="dxa"/>
            <w:gridSpan w:val="3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4290" w:type="dxa"/>
            <w:gridSpan w:val="16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78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Кол-во,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Цена за ед.,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>руб. коп</w:t>
            </w:r>
          </w:p>
        </w:tc>
        <w:tc>
          <w:tcPr>
            <w:tcW w:w="72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Ставка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>НДС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Сумма НДС,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>руб. коп</w:t>
            </w:r>
          </w:p>
        </w:tc>
        <w:tc>
          <w:tcPr>
            <w:tcW w:w="111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Стоимость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НДС,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>руб. коп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555" w:type="dxa"/>
            <w:gridSpan w:val="3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90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17827" w:rsidRPr="008822FE" w:rsidRDefault="0090482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Сервер</w:t>
            </w:r>
            <w:r w:rsidRPr="008822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Dell R760 16SFF  SAS/SATA+8Universal </w:t>
            </w:r>
            <w:proofErr w:type="spellStart"/>
            <w:r w:rsidRPr="008822FE">
              <w:rPr>
                <w:rFonts w:ascii="Times New Roman" w:hAnsi="Times New Roman"/>
                <w:sz w:val="18"/>
                <w:szCs w:val="18"/>
                <w:lang w:val="en-US"/>
              </w:rPr>
              <w:t>NVMe</w:t>
            </w:r>
            <w:proofErr w:type="spellEnd"/>
            <w:r w:rsidRPr="008822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Direct/ 8468 / 8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8822FE">
              <w:rPr>
                <w:rFonts w:ascii="Times New Roman" w:hAnsi="Times New Roman"/>
                <w:sz w:val="18"/>
                <w:szCs w:val="18"/>
                <w:lang w:val="en-US"/>
              </w:rPr>
              <w:t>64GB / H965i / 4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8822FE">
              <w:rPr>
                <w:rFonts w:ascii="Times New Roman" w:hAnsi="Times New Roman"/>
                <w:sz w:val="18"/>
                <w:szCs w:val="18"/>
                <w:lang w:val="en-US"/>
              </w:rPr>
              <w:t>SSD 3,2TB SAS / 3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8822FE">
              <w:rPr>
                <w:rFonts w:ascii="Times New Roman" w:hAnsi="Times New Roman"/>
                <w:sz w:val="18"/>
                <w:szCs w:val="18"/>
                <w:lang w:val="en-US"/>
              </w:rPr>
              <w:t>SSD 3,84TB SAS / 4x1GbE BASE-T / 3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8822FE">
              <w:rPr>
                <w:rFonts w:ascii="Times New Roman" w:hAnsi="Times New Roman"/>
                <w:sz w:val="18"/>
                <w:szCs w:val="18"/>
                <w:lang w:val="en-US"/>
              </w:rPr>
              <w:t>1,4kW / iDRAC9 Ent / Rail Kit</w:t>
            </w:r>
          </w:p>
        </w:tc>
        <w:tc>
          <w:tcPr>
            <w:tcW w:w="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117827" w:rsidRDefault="0090482A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117827" w:rsidRDefault="0090482A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2 956 970,00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117827" w:rsidRDefault="0090482A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20%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117827" w:rsidRDefault="0090482A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492 828,33</w:t>
            </w: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17827" w:rsidRDefault="0090482A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2 956 970,00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4845" w:type="dxa"/>
            <w:gridSpan w:val="19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17827" w:rsidRDefault="0090482A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7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bottom"/>
          </w:tcPr>
          <w:p w:rsidR="00117827" w:rsidRDefault="0090482A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  <w:jc w:val="center"/>
            </w:pP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auto" w:fill="auto"/>
            <w:vAlign w:val="bottom"/>
          </w:tcPr>
          <w:p w:rsidR="00117827" w:rsidRDefault="0090482A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492 828,33</w:t>
            </w: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17827" w:rsidRDefault="0090482A">
            <w:pPr>
              <w:spacing w:after="0"/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2 956 970,00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45" w:type="dxa"/>
            <w:gridSpan w:val="10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ПОСТАВЩИК: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75" w:type="dxa"/>
            <w:gridSpan w:val="2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ПОКУПАТЕЛЬ: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4845" w:type="dxa"/>
            <w:gridSpan w:val="19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135" w:type="dxa"/>
            <w:gridSpan w:val="3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940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ООО "Сервер </w:t>
            </w:r>
            <w:proofErr w:type="spellStart"/>
            <w:r>
              <w:rPr>
                <w:rFonts w:ascii="Times New Roman" w:hAnsi="Times New Roman"/>
              </w:rPr>
              <w:t>Молл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4245" w:type="dxa"/>
            <w:gridSpan w:val="4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АО "ВЫБОРГТЕПЛОЭНЕРГО"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205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640" w:type="dxa"/>
            <w:gridSpan w:val="7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/Р.А. Фролов/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87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370" w:type="dxa"/>
            <w:gridSpan w:val="2"/>
            <w:shd w:val="clear" w:color="auto" w:fill="auto"/>
            <w:vAlign w:val="bottom"/>
          </w:tcPr>
          <w:p w:rsidR="00117827" w:rsidRDefault="0090482A" w:rsidP="00313BB4">
            <w:pPr>
              <w:spacing w:after="0"/>
            </w:pPr>
            <w:r>
              <w:rPr>
                <w:rFonts w:ascii="Times New Roman" w:hAnsi="Times New Roman"/>
              </w:rPr>
              <w:t>/</w:t>
            </w:r>
            <w:r w:rsidR="00313BB4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</w:t>
            </w:r>
            <w:r w:rsidR="00313BB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</w:t>
            </w:r>
            <w:r w:rsidR="00313BB4">
              <w:rPr>
                <w:rFonts w:ascii="Times New Roman" w:hAnsi="Times New Roman"/>
              </w:rPr>
              <w:t>Кривонос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5625" w:type="dxa"/>
            <w:gridSpan w:val="20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</w:tbl>
    <w:p w:rsidR="00117827" w:rsidRDefault="0090482A">
      <w:r>
        <w:br w:type="page"/>
      </w:r>
    </w:p>
    <w:tbl>
      <w:tblPr>
        <w:tblW w:w="100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726"/>
        <w:gridCol w:w="207"/>
        <w:gridCol w:w="1349"/>
        <w:gridCol w:w="726"/>
        <w:gridCol w:w="756"/>
        <w:gridCol w:w="178"/>
        <w:gridCol w:w="889"/>
        <w:gridCol w:w="223"/>
        <w:gridCol w:w="681"/>
        <w:gridCol w:w="119"/>
        <w:gridCol w:w="1052"/>
        <w:gridCol w:w="934"/>
        <w:gridCol w:w="178"/>
        <w:gridCol w:w="934"/>
        <w:gridCol w:w="726"/>
        <w:gridCol w:w="74"/>
        <w:gridCol w:w="119"/>
      </w:tblGrid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Приложение №1</w:t>
            </w: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 w:rsidP="008822FE">
            <w:pPr>
              <w:spacing w:after="0"/>
              <w:jc w:val="right"/>
            </w:pPr>
            <w:r>
              <w:rPr>
                <w:rFonts w:ascii="Times New Roman" w:hAnsi="Times New Roman"/>
              </w:rPr>
              <w:t>к Договору поставки  № ДП-04016  от 0</w:t>
            </w:r>
            <w:r w:rsidR="008822F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.11.2024 г.</w:t>
            </w: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Условия гарантии</w:t>
            </w: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38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67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2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Гарантия на серверы и СХД HP, IBM, </w:t>
            </w:r>
            <w:proofErr w:type="spellStart"/>
            <w:r>
              <w:rPr>
                <w:rFonts w:ascii="Times New Roman" w:hAnsi="Times New Roman"/>
              </w:rPr>
              <w:t>Dell</w:t>
            </w:r>
            <w:proofErr w:type="spellEnd"/>
            <w:r>
              <w:rPr>
                <w:rFonts w:ascii="Times New Roman" w:hAnsi="Times New Roman"/>
              </w:rPr>
              <w:t xml:space="preserve">, поставляемые компанией «Сервер </w:t>
            </w:r>
            <w:proofErr w:type="spellStart"/>
            <w:r>
              <w:rPr>
                <w:rFonts w:ascii="Times New Roman" w:hAnsi="Times New Roman"/>
              </w:rPr>
              <w:t>Молл</w:t>
            </w:r>
            <w:proofErr w:type="spellEnd"/>
            <w:r>
              <w:rPr>
                <w:rFonts w:ascii="Times New Roman" w:hAnsi="Times New Roman"/>
              </w:rPr>
              <w:t>» или ее партнерами включает:</w:t>
            </w: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38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67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2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   • Ремонт и/или замена </w:t>
            </w:r>
            <w:proofErr w:type="gramStart"/>
            <w:r>
              <w:rPr>
                <w:rFonts w:ascii="Times New Roman" w:hAnsi="Times New Roman"/>
              </w:rPr>
              <w:t>комплектующих</w:t>
            </w:r>
            <w:proofErr w:type="gramEnd"/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/>
              <w:t>• Выезд сервисного инженера на место проведения ремонта. География гарантийного обслуживания ограничивается территорией Российской Федерации, если условиями гарантии не предусмотрено иное;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8822FE" w:rsidTr="008822FE">
        <w:trPr>
          <w:gridAfter w:val="7"/>
          <w:wAfter w:w="4017" w:type="dxa"/>
          <w:cantSplit/>
        </w:trPr>
        <w:tc>
          <w:tcPr>
            <w:tcW w:w="1067" w:type="dxa"/>
            <w:gridSpan w:val="3"/>
            <w:shd w:val="clear" w:color="auto" w:fill="auto"/>
            <w:vAlign w:val="bottom"/>
          </w:tcPr>
          <w:p w:rsidR="008822FE" w:rsidRDefault="008822FE">
            <w:pPr>
              <w:spacing w:after="0"/>
            </w:pPr>
          </w:p>
        </w:tc>
        <w:tc>
          <w:tcPr>
            <w:tcW w:w="2075" w:type="dxa"/>
            <w:gridSpan w:val="2"/>
            <w:shd w:val="clear" w:color="auto" w:fill="auto"/>
            <w:vAlign w:val="bottom"/>
          </w:tcPr>
          <w:p w:rsidR="008822FE" w:rsidRDefault="008822FE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auto"/>
            <w:vAlign w:val="bottom"/>
          </w:tcPr>
          <w:p w:rsidR="008822FE" w:rsidRDefault="008822FE">
            <w:pPr>
              <w:spacing w:after="0"/>
            </w:pPr>
          </w:p>
        </w:tc>
        <w:tc>
          <w:tcPr>
            <w:tcW w:w="1112" w:type="dxa"/>
            <w:gridSpan w:val="2"/>
            <w:shd w:val="clear" w:color="auto" w:fill="auto"/>
            <w:vAlign w:val="bottom"/>
          </w:tcPr>
          <w:p w:rsidR="008822FE" w:rsidRDefault="008822FE">
            <w:pPr>
              <w:spacing w:after="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8822FE" w:rsidRDefault="008822FE">
            <w:pPr>
              <w:spacing w:after="0"/>
            </w:pP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Срок действия гарантии для оборудования, продаваемого компанией «Сервер </w:t>
            </w:r>
            <w:proofErr w:type="spellStart"/>
            <w:r>
              <w:rPr>
                <w:rFonts w:ascii="Times New Roman" w:hAnsi="Times New Roman"/>
              </w:rPr>
              <w:t>Молл</w:t>
            </w:r>
            <w:proofErr w:type="spellEnd"/>
            <w:r>
              <w:rPr>
                <w:rFonts w:ascii="Times New Roman" w:hAnsi="Times New Roman"/>
              </w:rPr>
              <w:t xml:space="preserve">» составляет фиксированный по продолжительности период, начинающийся от даты покупки. Датой покупки является дата, указанная в квитанции о продаже. По условиям гарантийного обслуживания на месте компания «Сервер </w:t>
            </w:r>
            <w:proofErr w:type="spellStart"/>
            <w:r>
              <w:rPr>
                <w:rFonts w:ascii="Times New Roman" w:hAnsi="Times New Roman"/>
              </w:rPr>
              <w:t>Молл</w:t>
            </w:r>
            <w:proofErr w:type="spellEnd"/>
            <w:r>
              <w:rPr>
                <w:rFonts w:ascii="Times New Roman" w:hAnsi="Times New Roman"/>
              </w:rPr>
              <w:t>» определяет ремонтопригодность оборудования:</w:t>
            </w: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38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67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2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    • Удаленно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• С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компонента для замены; замена компонента выполняется клиентом самостоятельно</w:t>
            </w:r>
            <w:r>
              <w:rPr>
                <w:rFonts w:ascii="Times New Roman" w:hAnsi="Times New Roman"/>
              </w:rPr>
              <w:br/>
              <w:t>• С выездом на место, где находится дефектное устройство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38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67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2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Максимальное время </w:t>
            </w:r>
            <w:proofErr w:type="gramStart"/>
            <w:r>
              <w:rPr>
                <w:rFonts w:ascii="Times New Roman" w:hAnsi="Times New Roman"/>
              </w:rPr>
              <w:t>диагностики и определения способа ремонта/замены поставляемого оборудования</w:t>
            </w:r>
            <w:proofErr w:type="gramEnd"/>
            <w:r>
              <w:rPr>
                <w:rFonts w:ascii="Times New Roman" w:hAnsi="Times New Roman"/>
              </w:rPr>
              <w:t xml:space="preserve"> составляет один рабочий день после регистрации заявки.</w:t>
            </w: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38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67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2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Максимальное время замены оборудования составляет 5 рабочих дней на линейки производителей </w:t>
            </w:r>
            <w:proofErr w:type="spellStart"/>
            <w:r>
              <w:rPr>
                <w:rFonts w:ascii="Times New Roman" w:hAnsi="Times New Roman"/>
              </w:rPr>
              <w:t>Dell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PowerVault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PowerEdge</w:t>
            </w:r>
            <w:proofErr w:type="spellEnd"/>
            <w:r>
              <w:rPr>
                <w:rFonts w:ascii="Times New Roman" w:hAnsi="Times New Roman"/>
              </w:rPr>
              <w:t xml:space="preserve">), HPE (MSA, </w:t>
            </w:r>
            <w:proofErr w:type="spellStart"/>
            <w:r>
              <w:rPr>
                <w:rFonts w:ascii="Times New Roman" w:hAnsi="Times New Roman"/>
              </w:rPr>
              <w:t>ProLiant</w:t>
            </w:r>
            <w:proofErr w:type="spellEnd"/>
            <w:r>
              <w:rPr>
                <w:rFonts w:ascii="Times New Roman" w:hAnsi="Times New Roman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t>Lenovo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ThinkSystem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System</w:t>
            </w:r>
            <w:proofErr w:type="spellEnd"/>
            <w:r>
              <w:rPr>
                <w:rFonts w:ascii="Times New Roman" w:hAnsi="Times New Roman"/>
              </w:rPr>
              <w:t xml:space="preserve"> x). На остальное оборудование, в том числе </w:t>
            </w:r>
            <w:proofErr w:type="spellStart"/>
            <w:r>
              <w:rPr>
                <w:rFonts w:ascii="Times New Roman" w:hAnsi="Times New Roman"/>
              </w:rPr>
              <w:t>Hi-End</w:t>
            </w:r>
            <w:proofErr w:type="spellEnd"/>
            <w:r>
              <w:rPr>
                <w:rFonts w:ascii="Times New Roman" w:hAnsi="Times New Roman"/>
              </w:rPr>
              <w:t xml:space="preserve"> класса максимальный срок замены составляет 45 рабочих дней.</w:t>
            </w: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38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67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2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    </w:t>
            </w:r>
            <w:proofErr w:type="gramStart"/>
            <w:r>
              <w:rPr>
                <w:rFonts w:ascii="Times New Roman" w:hAnsi="Times New Roman"/>
              </w:rPr>
              <w:t>• Срок гарантии на серверное оборудование и систем хранения данных (новых и бывший в употреблении) устанавливается 5 лет;</w:t>
            </w:r>
            <w:r>
              <w:rPr>
                <w:rFonts w:ascii="Times New Roman" w:hAnsi="Times New Roman"/>
              </w:rPr>
              <w:br/>
              <w:t>• Срок гарантии на новые и бывшие в употреблении комплектующие (кроме бывших в употреблении накопителей), приобретаемые отдельно, устанавливается 1 год;</w:t>
            </w:r>
            <w:r>
              <w:rPr>
                <w:rFonts w:ascii="Times New Roman" w:hAnsi="Times New Roman"/>
              </w:rPr>
              <w:br/>
              <w:t>• Срок гарантии на бывшие в употреблении накопители устанавливается 6 месяцев;</w:t>
            </w:r>
            <w:r>
              <w:rPr>
                <w:rFonts w:ascii="Times New Roman" w:hAnsi="Times New Roman"/>
              </w:rPr>
              <w:br/>
              <w:t>• Срок гарантии на коммутационное оборудование (новое и бывшее в употреблении) устанавливается 1 год;</w:t>
            </w:r>
            <w:r>
              <w:rPr>
                <w:rFonts w:ascii="Times New Roman" w:hAnsi="Times New Roman"/>
              </w:rPr>
              <w:br/>
            </w:r>
            <w:proofErr w:type="gramEnd"/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38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67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2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Срок гарантии на другое оборудование, являющееся непрофильным для компании Сервер </w:t>
            </w:r>
            <w:proofErr w:type="spellStart"/>
            <w:r>
              <w:rPr>
                <w:rFonts w:ascii="Times New Roman" w:hAnsi="Times New Roman"/>
              </w:rPr>
              <w:t>Молл</w:t>
            </w:r>
            <w:proofErr w:type="spellEnd"/>
            <w:r>
              <w:rPr>
                <w:rFonts w:ascii="Times New Roman" w:hAnsi="Times New Roman"/>
              </w:rPr>
              <w:t>, устанавливается по согласованию индивидуально.</w:t>
            </w: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38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67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2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752" w:type="dxa"/>
            <w:gridSpan w:val="1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Так же на оборудование может распространяться официальная гарантия производителя, о чем компания «Сервер </w:t>
            </w:r>
            <w:proofErr w:type="spellStart"/>
            <w:r>
              <w:rPr>
                <w:rFonts w:ascii="Times New Roman" w:hAnsi="Times New Roman"/>
              </w:rPr>
              <w:t>Молл</w:t>
            </w:r>
            <w:proofErr w:type="spellEnd"/>
            <w:r>
              <w:rPr>
                <w:rFonts w:ascii="Times New Roman" w:hAnsi="Times New Roman"/>
              </w:rPr>
              <w:t>» информирует покупателя с указанием точной даты ее окончания.</w:t>
            </w:r>
          </w:p>
        </w:tc>
      </w:tr>
      <w:tr w:rsidR="00117827" w:rsidTr="008822FE">
        <w:trPr>
          <w:gridAfter w:val="1"/>
          <w:wAfter w:w="119" w:type="dxa"/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726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038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067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112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282" w:type="dxa"/>
            <w:gridSpan w:val="3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ПОСТАВЩИК: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793" w:type="dxa"/>
            <w:gridSpan w:val="3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283" w:type="dxa"/>
            <w:gridSpan w:val="4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ПОКУПАТЕЛЬ: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3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282" w:type="dxa"/>
            <w:gridSpan w:val="3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793" w:type="dxa"/>
            <w:gridSpan w:val="3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283" w:type="dxa"/>
            <w:gridSpan w:val="4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3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282" w:type="dxa"/>
            <w:gridSpan w:val="3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 xml:space="preserve">ООО "Сервер </w:t>
            </w:r>
            <w:proofErr w:type="spellStart"/>
            <w:r>
              <w:rPr>
                <w:rFonts w:ascii="Times New Roman" w:hAnsi="Times New Roman"/>
              </w:rPr>
              <w:t>Молл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793" w:type="dxa"/>
            <w:gridSpan w:val="3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3943" w:type="dxa"/>
            <w:gridSpan w:val="6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АО "ВЫБОРГТЕПЛОЭНЕРГО"</w:t>
            </w:r>
          </w:p>
        </w:tc>
        <w:tc>
          <w:tcPr>
            <w:tcW w:w="193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cantSplit/>
          <w:trHeight w:val="525"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282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/Р.А. Фролов/</w:t>
            </w:r>
          </w:p>
        </w:tc>
        <w:tc>
          <w:tcPr>
            <w:tcW w:w="1793" w:type="dxa"/>
            <w:gridSpan w:val="3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283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117827" w:rsidRDefault="0090482A" w:rsidP="008822FE">
            <w:pPr>
              <w:spacing w:after="0"/>
            </w:pPr>
            <w:r>
              <w:rPr>
                <w:rFonts w:ascii="Times New Roman" w:hAnsi="Times New Roman"/>
              </w:rPr>
              <w:t>/</w:t>
            </w:r>
            <w:proofErr w:type="spellStart"/>
            <w:r w:rsidR="008822F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.В.</w:t>
            </w:r>
            <w:r w:rsidR="008822FE">
              <w:rPr>
                <w:rFonts w:ascii="Times New Roman" w:hAnsi="Times New Roman"/>
              </w:rPr>
              <w:t>Кривонос</w:t>
            </w:r>
            <w:proofErr w:type="spellEnd"/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93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  <w:tr w:rsidR="00117827" w:rsidTr="008822FE"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282" w:type="dxa"/>
            <w:gridSpan w:val="3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793" w:type="dxa"/>
            <w:gridSpan w:val="3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2283" w:type="dxa"/>
            <w:gridSpan w:val="4"/>
            <w:shd w:val="clear" w:color="auto" w:fill="auto"/>
            <w:vAlign w:val="bottom"/>
          </w:tcPr>
          <w:p w:rsidR="00117827" w:rsidRDefault="0090482A">
            <w:pPr>
              <w:spacing w:after="0"/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  <w:tc>
          <w:tcPr>
            <w:tcW w:w="193" w:type="dxa"/>
            <w:gridSpan w:val="2"/>
            <w:shd w:val="clear" w:color="auto" w:fill="auto"/>
            <w:vAlign w:val="bottom"/>
          </w:tcPr>
          <w:p w:rsidR="00117827" w:rsidRDefault="00117827">
            <w:pPr>
              <w:spacing w:after="0"/>
            </w:pPr>
          </w:p>
        </w:tc>
      </w:tr>
    </w:tbl>
    <w:p w:rsidR="0090482A" w:rsidRDefault="0090482A"/>
    <w:sectPr w:rsidR="0090482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827"/>
    <w:rsid w:val="00117827"/>
    <w:rsid w:val="00313BB4"/>
    <w:rsid w:val="008822FE"/>
    <w:rsid w:val="0090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yk yk</cp:lastModifiedBy>
  <cp:revision>3</cp:revision>
  <cp:lastPrinted>2024-11-06T10:19:00Z</cp:lastPrinted>
  <dcterms:created xsi:type="dcterms:W3CDTF">2024-11-06T05:39:00Z</dcterms:created>
  <dcterms:modified xsi:type="dcterms:W3CDTF">2024-11-06T10:21:00Z</dcterms:modified>
</cp:coreProperties>
</file>